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pPr>
      <w:r>
        <w:t xml:space="preserve"/>
      </w:r>
    </w:p>
    <w:p>
      <w:pPr>
        <w:spacing w:after="100" w:before="100"/>
      </w:pPr>
      <w:r>
        <w:t xml:space="preserve"/>
      </w:r>
    </w:p>
    <w:p>
      <w:pPr>
        <w:spacing w:after="100" w:before="100"/>
      </w:pPr>
      <w:r>
        <w:t xml:space="preserve"/>
      </w:r>
    </w:p>
    <w:p>
      <w:pPr>
        <w:spacing w:after="200" w:before="0"/>
        <w:jc w:val="center"/>
      </w:pPr>
      <w:r>
        <w:rPr>
          <w:rFonts w:ascii="Arial" w:cs="Arial" w:eastAsia="Arial" w:hAnsi="Arial"/>
          <w:b/>
          <w:bCs/>
          <w:color w:val="1F3864"/>
          <w:sz w:val="56"/>
          <w:szCs w:val="56"/>
        </w:rPr>
        <w:t xml:space="preserve">THOMAS FAMILY</w:t>
      </w:r>
    </w:p>
    <w:p>
      <w:pPr>
        <w:spacing w:after="200" w:before="0"/>
        <w:jc w:val="center"/>
      </w:pPr>
      <w:r>
        <w:rPr>
          <w:rFonts w:ascii="Arial" w:cs="Arial" w:eastAsia="Arial" w:hAnsi="Arial"/>
          <w:b/>
          <w:bCs/>
          <w:color w:val="1F3864"/>
          <w:sz w:val="56"/>
          <w:szCs w:val="56"/>
        </w:rPr>
        <w:t xml:space="preserve">ESTATE RECORD</w:t>
      </w:r>
    </w:p>
    <w:p>
      <w:pPr>
        <w:pBdr>
          <w:bottom w:val="single" w:color="1F3864" w:sz="4" w:space="1"/>
        </w:pBdr>
        <w:spacing w:after="120" w:before="120"/>
      </w:pPr>
      <w:r>
        <w:t xml:space="preserve"/>
      </w:r>
    </w:p>
    <w:p>
      <w:pPr>
        <w:spacing w:after="120" w:before="200"/>
        <w:jc w:val="center"/>
      </w:pPr>
      <w:r>
        <w:rPr>
          <w:rFonts w:ascii="Arial" w:cs="Arial" w:eastAsia="Arial" w:hAnsi="Arial"/>
          <w:i/>
          <w:iCs/>
          <w:color w:val="444444"/>
          <w:sz w:val="28"/>
          <w:szCs w:val="28"/>
        </w:rPr>
        <w:t xml:space="preserve">Everything you need to know. Everything in one place.</w:t>
      </w:r>
    </w:p>
    <w:p>
      <w:pPr>
        <w:spacing w:after="400" w:before="120"/>
        <w:jc w:val="center"/>
      </w:pPr>
      <w:r>
        <w:rPr>
          <w:rFonts w:ascii="Arial" w:cs="Arial" w:eastAsia="Arial" w:hAnsi="Arial"/>
          <w:color w:val="666666"/>
          <w:sz w:val="22"/>
          <w:szCs w:val="22"/>
        </w:rPr>
        <w:t xml:space="preserve">Updated: June 2026  |  Prepared by David Thomas</w:t>
      </w:r>
    </w:p>
    <w:p>
      <w:pPr>
        <w:spacing w:after="100" w:before="100"/>
      </w:pPr>
      <w:r>
        <w:t xml:space="preserve"/>
      </w:r>
    </w:p>
    <w:p>
      <w:pPr>
        <w:spacing w:after="100" w:before="100"/>
      </w:pPr>
      <w:r>
        <w:t xml:space="preserve"/>
      </w:r>
    </w:p>
    <w:p>
      <w:pPr>
        <w:spacing w:after="10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7B0000" w:sz="4"/>
              <w:left w:val="single" w:color="7B0000" w:sz="4"/>
              <w:bottom w:val="single" w:color="7B0000" w:sz="4"/>
              <w:right w:val="single" w:color="7B0000" w:sz="4"/>
            </w:tcBorders>
            <w:shd w:fill="FFF2CC" w:val="clear"/>
            <w:tcMar>
              <w:top w:type="dxa" w:w="120"/>
              <w:left w:type="dxa" w:w="180"/>
              <w:bottom w:type="dxa" w:w="120"/>
              <w:right w:type="dxa" w:w="180"/>
            </w:tcMar>
          </w:tcPr>
          <w:p>
            <w:pPr>
              <w:spacing w:after="40" w:before="40"/>
            </w:pPr>
            <w:r>
              <w:rPr>
                <w:rFonts w:ascii="Arial" w:cs="Arial" w:eastAsia="Arial" w:hAnsi="Arial"/>
                <w:color w:val="7B0000"/>
                <w:sz w:val="20"/>
                <w:szCs w:val="20"/>
              </w:rPr>
              <w:t xml:space="preserve">STRICTLY PRIVATE AND CONFIDENTIAL</w:t>
            </w:r>
          </w:p>
          <w:p>
            <w:pPr>
              <w:spacing w:after="40" w:before="40"/>
            </w:pPr>
            <w:r>
              <w:rPr>
                <w:rFonts w:ascii="Arial" w:cs="Arial" w:eastAsia="Arial" w:hAnsi="Arial"/>
                <w:color w:val="7B0000"/>
                <w:sz w:val="20"/>
                <w:szCs w:val="20"/>
              </w:rPr>
              <w:t xml:space="preserve"/>
            </w:r>
          </w:p>
          <w:p>
            <w:pPr>
              <w:spacing w:after="40" w:before="40"/>
            </w:pPr>
            <w:r>
              <w:rPr>
                <w:rFonts w:ascii="Arial" w:cs="Arial" w:eastAsia="Arial" w:hAnsi="Arial"/>
                <w:color w:val="7B0000"/>
                <w:sz w:val="20"/>
                <w:szCs w:val="20"/>
              </w:rPr>
              <w:t xml:space="preserve">This document contains passwords, account numbers, and personal financial details.</w:t>
            </w:r>
          </w:p>
          <w:p>
            <w:pPr>
              <w:spacing w:after="40" w:before="40"/>
            </w:pPr>
            <w:r>
              <w:rPr>
                <w:rFonts w:ascii="Arial" w:cs="Arial" w:eastAsia="Arial" w:hAnsi="Arial"/>
                <w:color w:val="7B0000"/>
                <w:sz w:val="20"/>
                <w:szCs w:val="20"/>
              </w:rPr>
              <w:t xml:space="preserve">Keep the physical copy in the family folder. Do not email this document in full.</w:t>
            </w:r>
          </w:p>
          <w:p>
            <w:pPr>
              <w:spacing w:after="40" w:before="40"/>
            </w:pPr>
            <w:r>
              <w:rPr>
                <w:rFonts w:ascii="Arial" w:cs="Arial" w:eastAsia="Arial" w:hAnsi="Arial"/>
                <w:color w:val="7B0000"/>
                <w:sz w:val="20"/>
                <w:szCs w:val="20"/>
              </w:rPr>
              <w:t xml:space="preserve">The digital version lives in Google Drive — stsirius99@gmail.com — folder: Read If I Am Not Here.</w:t>
            </w:r>
          </w:p>
        </w:tc>
      </w:tr>
    </w:tbl>
    <w:p>
      <w:r>
        <w:br w:type="page"/>
      </w:r>
    </w:p>
    <w:p>
      <w:pPr>
        <w:pStyle w:val="Heading1"/>
        <w:spacing w:after="160" w:before="400"/>
      </w:pPr>
      <w:r>
        <w:rPr>
          <w:rFonts w:ascii="Arial" w:cs="Arial" w:eastAsia="Arial" w:hAnsi="Arial"/>
          <w:b/>
          <w:bCs/>
          <w:color w:val="1F3864"/>
          <w:sz w:val="32"/>
          <w:szCs w:val="32"/>
        </w:rPr>
        <w:t xml:space="preserve">How To Use This Document</w:t>
      </w:r>
    </w:p>
    <w:p>
      <w:pPr>
        <w:spacing w:after="60" w:before="60"/>
      </w:pPr>
      <w:r>
        <w:rPr>
          <w:rFonts w:ascii="Arial" w:cs="Arial" w:eastAsia="Arial" w:hAnsi="Arial"/>
          <w:sz w:val="22"/>
          <w:szCs w:val="22"/>
        </w:rPr>
        <w:t xml:space="preserve">This document is your complete guide to the Thomas family estate. It contains every account number, password, contact, and instruction that Betsy, Amanda, or Jerusha will need if David is no longer here.</w:t>
      </w:r>
    </w:p>
    <w:p>
      <w:pPr>
        <w:spacing w:after="100" w:before="100"/>
      </w:pPr>
      <w:r>
        <w:t xml:space="preserve"/>
      </w:r>
    </w:p>
    <w:p>
      <w:pPr>
        <w:spacing w:after="60" w:before="60"/>
      </w:pPr>
      <w:r>
        <w:rPr>
          <w:rFonts w:ascii="Arial" w:cs="Arial" w:eastAsia="Arial" w:hAnsi="Arial"/>
          <w:sz w:val="22"/>
          <w:szCs w:val="22"/>
        </w:rPr>
        <w:t xml:space="preserve">Read it once now so you know what is here. Then keep it in the family folder at home.</w:t>
      </w:r>
    </w:p>
    <w:p>
      <w:pPr>
        <w:spacing w:after="100" w:before="100"/>
      </w:pPr>
      <w:r>
        <w:t xml:space="preserve"/>
      </w:r>
    </w:p>
    <w:p>
      <w:pPr>
        <w:spacing w:after="60" w:before="60"/>
      </w:pPr>
      <w:r>
        <w:rPr>
          <w:rFonts w:ascii="Arial" w:cs="Arial" w:eastAsia="Arial" w:hAnsi="Arial"/>
          <w:sz w:val="22"/>
          <w:szCs w:val="22"/>
        </w:rPr>
        <w:t xml:space="preserve">The most important first steps if David has passed:</w:t>
      </w:r>
    </w:p>
    <w:p>
      <w:pPr>
        <w:pStyle w:val="ListParagraph"/>
        <w:numPr>
          <w:ilvl w:val="0"/>
          <w:numId w:val="2"/>
        </w:numPr>
        <w:spacing w:after="60" w:before="60"/>
      </w:pPr>
      <w:r>
        <w:rPr>
          <w:rFonts w:ascii="Arial" w:cs="Arial" w:eastAsia="Arial" w:hAnsi="Arial"/>
          <w:sz w:val="22"/>
          <w:szCs w:val="22"/>
        </w:rPr>
        <w:t xml:space="preserve">Call Amanda — she is the first person to coordinate everything.</w:t>
      </w:r>
    </w:p>
    <w:p>
      <w:pPr>
        <w:pStyle w:val="ListParagraph"/>
        <w:numPr>
          <w:ilvl w:val="0"/>
          <w:numId w:val="2"/>
        </w:numPr>
        <w:spacing w:after="60" w:before="60"/>
      </w:pPr>
      <w:r>
        <w:rPr>
          <w:rFonts w:ascii="Arial" w:cs="Arial" w:eastAsia="Arial" w:hAnsi="Arial"/>
          <w:sz w:val="22"/>
          <w:szCs w:val="22"/>
        </w:rPr>
        <w:t xml:space="preserve">Locate both original wills — physical copies in the home office estate folder.</w:t>
      </w:r>
    </w:p>
    <w:p>
      <w:pPr>
        <w:pStyle w:val="ListParagraph"/>
        <w:numPr>
          <w:ilvl w:val="0"/>
          <w:numId w:val="2"/>
        </w:numPr>
        <w:spacing w:after="60" w:before="60"/>
      </w:pPr>
      <w:r>
        <w:rPr>
          <w:rFonts w:ascii="Arial" w:cs="Arial" w:eastAsia="Arial" w:hAnsi="Arial"/>
          <w:sz w:val="22"/>
          <w:szCs w:val="22"/>
        </w:rPr>
        <w:t xml:space="preserve">Engage a probate lawyer at time of need — any law firm practising probate and estate work can assist.</w:t>
      </w:r>
    </w:p>
    <w:p>
      <w:pPr>
        <w:pStyle w:val="ListParagraph"/>
        <w:numPr>
          <w:ilvl w:val="0"/>
          <w:numId w:val="2"/>
        </w:numPr>
        <w:spacing w:after="60" w:before="60"/>
      </w:pPr>
      <w:r>
        <w:rPr>
          <w:rFonts w:ascii="Arial" w:cs="Arial" w:eastAsia="Arial" w:hAnsi="Arial"/>
          <w:sz w:val="22"/>
          <w:szCs w:val="22"/>
        </w:rPr>
        <w:t xml:space="preserve">Notify Maybank, CIMB, Bank Rakyat, and EPF (KWSP) — bring death certificate to each.</w:t>
      </w:r>
    </w:p>
    <w:p>
      <w:pPr>
        <w:pStyle w:val="ListParagraph"/>
        <w:numPr>
          <w:ilvl w:val="0"/>
          <w:numId w:val="2"/>
        </w:numPr>
        <w:spacing w:after="60" w:before="60"/>
      </w:pPr>
      <w:r>
        <w:rPr>
          <w:rFonts w:ascii="Arial" w:cs="Arial" w:eastAsia="Arial" w:hAnsi="Arial"/>
          <w:sz w:val="22"/>
          <w:szCs w:val="22"/>
        </w:rPr>
        <w:t xml:space="preserve">Do not wind down BSCT Technologies immediately — ask the lawyer first. Amanda knows the Cradle grant status.</w:t>
      </w:r>
    </w:p>
    <w:p>
      <w:pPr>
        <w:spacing w:after="100" w:before="100"/>
      </w:pPr>
      <w:r>
        <w:t xml:space="preserve"/>
      </w:r>
    </w:p>
    <w:p>
      <w:pPr>
        <w:spacing w:after="60" w:before="60"/>
      </w:pPr>
      <w:r>
        <w:rPr>
          <w:rFonts w:ascii="Arial" w:cs="Arial" w:eastAsia="Arial" w:hAnsi="Arial"/>
          <w:sz w:val="22"/>
          <w:szCs w:val="22"/>
        </w:rPr>
        <w:t xml:space="preserve">To speak to David's AI assistant (Sachiva), which knows everything in this document:</w:t>
      </w:r>
    </w:p>
    <w:p>
      <w:pPr>
        <w:spacing w:after="80" w:before="80"/>
        <w:ind w:left="360"/>
      </w:pPr>
      <w:r>
        <w:rPr>
          <w:rFonts w:ascii="Arial" w:cs="Arial" w:eastAsia="Arial" w:hAnsi="Arial"/>
          <w:i/>
          <w:iCs/>
          <w:color w:val="555555"/>
          <w:sz w:val="20"/>
          <w:szCs w:val="20"/>
        </w:rPr>
        <w:t xml:space="preserve">Go to claude.ai  |  Login: dtdavidpersonal@gmail.com  |  Password: @124London</w:t>
      </w:r>
    </w:p>
    <w:p>
      <w:pPr>
        <w:spacing w:after="80" w:before="80"/>
        <w:ind w:left="360"/>
      </w:pPr>
      <w:r>
        <w:rPr>
          <w:rFonts w:ascii="Arial" w:cs="Arial" w:eastAsia="Arial" w:hAnsi="Arial"/>
          <w:i/>
          <w:iCs/>
          <w:color w:val="555555"/>
          <w:sz w:val="20"/>
          <w:szCs w:val="20"/>
        </w:rPr>
        <w:t xml:space="preserve">Open Projects → Sachiva. Introduce yourself. Say: "David is no longer here."</w:t>
      </w:r>
    </w:p>
    <w:p>
      <w:pPr>
        <w:spacing w:after="80" w:before="80"/>
        <w:ind w:left="360"/>
      </w:pPr>
      <w:r>
        <w:rPr>
          <w:rFonts w:ascii="Arial" w:cs="Arial" w:eastAsia="Arial" w:hAnsi="Arial"/>
          <w:i/>
          <w:iCs/>
          <w:color w:val="555555"/>
          <w:sz w:val="20"/>
          <w:szCs w:val="20"/>
        </w:rPr>
        <w:t xml:space="preserve">Sachiva will help you work through everything.</w:t>
      </w:r>
    </w:p>
    <w:p>
      <w:r>
        <w:br w:type="page"/>
      </w:r>
    </w:p>
    <w:p>
      <w:pPr>
        <w:pStyle w:val="Heading1"/>
        <w:spacing w:after="160" w:before="400"/>
      </w:pPr>
      <w:r>
        <w:rPr>
          <w:rFonts w:ascii="Arial" w:cs="Arial" w:eastAsia="Arial" w:hAnsi="Arial"/>
          <w:b/>
          <w:bCs/>
          <w:color w:val="1F3864"/>
          <w:sz w:val="32"/>
          <w:szCs w:val="32"/>
        </w:rPr>
        <w:t xml:space="preserve">Section A — Passwords and Digital Access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7B0000" w:sz="4"/>
              <w:left w:val="single" w:color="7B0000" w:sz="4"/>
              <w:bottom w:val="single" w:color="7B0000" w:sz="4"/>
              <w:right w:val="single" w:color="7B0000" w:sz="4"/>
            </w:tcBorders>
            <w:shd w:fill="FFF2CC" w:val="clear"/>
            <w:tcMar>
              <w:top w:type="dxa" w:w="120"/>
              <w:left w:type="dxa" w:w="180"/>
              <w:bottom w:type="dxa" w:w="120"/>
              <w:right w:type="dxa" w:w="180"/>
            </w:tcMar>
          </w:tcPr>
          <w:p>
            <w:pPr>
              <w:spacing w:after="40" w:before="40"/>
            </w:pPr>
            <w:r>
              <w:rPr>
                <w:rFonts w:ascii="Arial" w:cs="Arial" w:eastAsia="Arial" w:hAnsi="Arial"/>
                <w:color w:val="7B0000"/>
                <w:sz w:val="20"/>
                <w:szCs w:val="20"/>
              </w:rPr>
              <w:t xml:space="preserve">KEEP THIS SECTION PHYSICALLY SECURE.</w:t>
            </w:r>
          </w:p>
          <w:p>
            <w:pPr>
              <w:spacing w:after="40" w:before="40"/>
            </w:pPr>
            <w:r>
              <w:rPr>
                <w:rFonts w:ascii="Arial" w:cs="Arial" w:eastAsia="Arial" w:hAnsi="Arial"/>
                <w:color w:val="7B0000"/>
                <w:sz w:val="20"/>
                <w:szCs w:val="20"/>
              </w:rPr>
              <w:t xml:space="preserve">Print this document for the family folder only.</w:t>
            </w:r>
          </w:p>
          <w:p>
            <w:pPr>
              <w:spacing w:after="40" w:before="40"/>
            </w:pPr>
            <w:r>
              <w:rPr>
                <w:rFonts w:ascii="Arial" w:cs="Arial" w:eastAsia="Arial" w:hAnsi="Arial"/>
                <w:color w:val="7B0000"/>
                <w:sz w:val="20"/>
                <w:szCs w:val="20"/>
              </w:rPr>
              <w:t xml:space="preserve">Do not email this section. Do not photograph it.</w:t>
            </w:r>
          </w:p>
          <w:p>
            <w:pPr>
              <w:spacing w:after="40" w:before="40"/>
            </w:pPr>
            <w:r>
              <w:rPr>
                <w:rFonts w:ascii="Arial" w:cs="Arial" w:eastAsia="Arial" w:hAnsi="Arial"/>
                <w:color w:val="7B0000"/>
                <w:sz w:val="20"/>
                <w:szCs w:val="20"/>
              </w:rPr>
              <w:t xml:space="preserve">The digital copy in Google Drive does NOT include this section.</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A1 — Computer Logins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600"/>
        <w:gridCol w:w="2700"/>
        <w:gridCol w:w="2700"/>
      </w:tblGrid>
      <w:tr>
        <w:trPr>
          <w:tblHeader/>
        </w:trPr>
        <w:tc>
          <w:tcPr>
            <w:tcW w:type="dxa" w:w="3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Device</w:t>
            </w:r>
          </w:p>
        </w:tc>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Login</w:t>
            </w:r>
          </w:p>
        </w:tc>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Password</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siriushomehub Mac Mini (home AI server — keep running)</w:t>
            </w:r>
          </w:p>
        </w:tc>
        <w:tc>
          <w:tcPr>
            <w:tcW w:type="dxa" w:w="27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System login</w:t>
            </w:r>
          </w:p>
        </w:tc>
        <w:tc>
          <w:tcPr>
            <w:tcW w:type="dxa" w:w="27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@124Sydney</w:t>
            </w:r>
          </w:p>
        </w:tc>
      </w:tr>
      <w:tr>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DTdavid Mac Mini (David's workstation)</w:t>
            </w:r>
          </w:p>
        </w:tc>
        <w:tc>
          <w:tcPr>
            <w:tcW w:type="dxa" w:w="27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System login</w:t>
            </w:r>
          </w:p>
        </w:tc>
        <w:tc>
          <w:tcPr>
            <w:tcW w:type="dxa" w:w="27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@124Sydney</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David's iPhone</w:t>
            </w:r>
          </w:p>
        </w:tc>
        <w:tc>
          <w:tcPr>
            <w:tcW w:type="dxa" w:w="27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Screen passcode</w:t>
            </w:r>
          </w:p>
        </w:tc>
        <w:tc>
          <w:tcPr>
            <w:tcW w:type="dxa" w:w="27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212409</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A2 — Email Accounts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200"/>
        <w:gridCol w:w="3300"/>
        <w:gridCol w:w="2500"/>
      </w:tblGrid>
      <w:tr>
        <w:trPr>
          <w:tblHeader/>
        </w:trPr>
        <w:tc>
          <w:tcPr>
            <w:tcW w:type="dxa" w:w="3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Account</w:t>
            </w:r>
          </w:p>
        </w:tc>
        <w:tc>
          <w:tcPr>
            <w:tcW w:type="dxa" w:w="33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2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Password</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dtdavidpersonal@gmail.com</w:t>
            </w:r>
          </w:p>
        </w:tc>
        <w:tc>
          <w:tcPr>
            <w:tcW w:type="dxa" w:w="3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David's personal email. Claude/Sachiva login.</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@124London</w:t>
            </w:r>
          </w:p>
        </w:tc>
      </w:tr>
      <w:tr>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stsirius99@gmail.com</w:t>
            </w:r>
          </w:p>
        </w:tc>
        <w:tc>
          <w:tcPr>
            <w:tcW w:type="dxa" w:w="3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Family shared Google account — Drive, Photos, shared documents. Amanda to take over.</w:t>
            </w:r>
          </w:p>
        </w:tc>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@124Thomas</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dtdavid@bsct.com.my</w:t>
            </w:r>
          </w:p>
        </w:tc>
        <w:tc>
          <w:tcPr>
            <w:tcW w:type="dxa" w:w="3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BSCT work email (Google Workspace)</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Same Google infrastructure — try @124London</w:t>
            </w:r>
          </w:p>
        </w:tc>
      </w:tr>
      <w:tr>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btbetsy99@gmail.com</w:t>
            </w:r>
          </w:p>
        </w:tc>
        <w:tc>
          <w:tcPr>
            <w:tcW w:type="dxa" w:w="3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Betsy's email. Monthly estate emails are sent here.</w:t>
            </w:r>
          </w:p>
        </w:tc>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Betsy's own password</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amandasthomas21@gmail.com</w:t>
            </w:r>
          </w:p>
        </w:tc>
        <w:tc>
          <w:tcPr>
            <w:tcW w:type="dxa" w:w="3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Amanda's email. Monthly estate emails are sent here.</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Amanda's own password</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A3 — Banking App Passwords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400"/>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Bank / Service</w:t>
            </w:r>
          </w:p>
        </w:tc>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Login / Username</w:t>
            </w:r>
          </w:p>
        </w:tc>
        <w:tc>
          <w:tcPr>
            <w:tcW w:type="dxa" w:w="3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Password</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Maybank2u (David)</w:t>
            </w:r>
          </w:p>
        </w:tc>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dsdavid</w:t>
            </w:r>
          </w:p>
        </w:tc>
        <w:tc>
          <w:tcPr>
            <w:tcW w:type="dxa" w:w="3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@124Sydney</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Maybank2u (Betsy)</w:t>
            </w:r>
          </w:p>
        </w:tc>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Batshebarani</w:t>
            </w:r>
          </w:p>
        </w:tc>
        <w:tc>
          <w:tcPr>
            <w:tcW w:type="dxa" w:w="3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@124Sydney</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Bank Rakyat</w:t>
            </w:r>
          </w:p>
        </w:tc>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2124dtdavid</w:t>
            </w:r>
          </w:p>
        </w:tc>
        <w:tc>
          <w:tcPr>
            <w:tcW w:type="dxa" w:w="3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@124Solomon</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CIMB Clicks</w:t>
            </w:r>
          </w:p>
        </w:tc>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2124dtdavid</w:t>
            </w:r>
          </w:p>
        </w:tc>
        <w:tc>
          <w:tcPr>
            <w:tcW w:type="dxa" w:w="3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@124Solomon</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Affin Bank</w:t>
            </w:r>
          </w:p>
        </w:tc>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2124dtdavid</w:t>
            </w:r>
          </w:p>
        </w:tc>
        <w:tc>
          <w:tcPr>
            <w:tcW w:type="dxa" w:w="3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@124Betsy</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Citibank</w:t>
            </w:r>
          </w:p>
        </w:tc>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2124dtdavid</w:t>
            </w:r>
          </w:p>
        </w:tc>
        <w:tc>
          <w:tcPr>
            <w:tcW w:type="dxa" w:w="3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2124Sydney</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Standard Chartered</w:t>
            </w:r>
          </w:p>
        </w:tc>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2124dtdavid</w:t>
            </w:r>
          </w:p>
        </w:tc>
        <w:tc>
          <w:tcPr>
            <w:tcW w:type="dxa" w:w="3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2124Solomon</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EPF i-Akaun (David)</w:t>
            </w:r>
          </w:p>
        </w:tc>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dtdavid2124</w:t>
            </w:r>
          </w:p>
        </w:tc>
        <w:tc>
          <w:tcPr>
            <w:tcW w:type="dxa" w:w="3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@124Sydney</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EPF i-Akaun (Betsy)</w:t>
            </w:r>
          </w:p>
        </w:tc>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btbetsy</w:t>
            </w:r>
          </w:p>
        </w:tc>
        <w:tc>
          <w:tcPr>
            <w:tcW w:type="dxa" w:w="3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@124Joshua</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A4 — Common Password Pool</w:t>
      </w:r>
    </w:p>
    <w:p>
      <w:pPr>
        <w:spacing w:after="60" w:before="60"/>
      </w:pPr>
      <w:r>
        <w:rPr>
          <w:rFonts w:ascii="Arial" w:cs="Arial" w:eastAsia="Arial" w:hAnsi="Arial"/>
          <w:sz w:val="22"/>
          <w:szCs w:val="22"/>
        </w:rPr>
        <w:t xml:space="preserve">If a specific account password is not listed above, David commonly used these passwords. Try them in order:</w:t>
      </w:r>
    </w:p>
    <w:p>
      <w:pPr>
        <w:spacing w:after="80" w:before="80"/>
        <w:ind w:left="360"/>
      </w:pPr>
      <w:r>
        <w:rPr>
          <w:rFonts w:ascii="Arial" w:cs="Arial" w:eastAsia="Arial" w:hAnsi="Arial"/>
          <w:i/>
          <w:iCs/>
          <w:color w:val="555555"/>
          <w:sz w:val="20"/>
          <w:szCs w:val="20"/>
        </w:rPr>
        <w:t xml:space="preserve">@124Tokyo  ·  @124Moscow  ·  @124London  ·  @124Update  ·  @124Caviar  ·  @124Singapore  ·  @124Selangor</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A5 — Google Drive — Read If I Am Not Here</w:t>
      </w:r>
    </w:p>
    <w:p>
      <w:pPr>
        <w:spacing w:after="60" w:before="60"/>
      </w:pPr>
      <w:r>
        <w:rPr>
          <w:rFonts w:ascii="Arial" w:cs="Arial" w:eastAsia="Arial" w:hAnsi="Arial"/>
          <w:sz w:val="22"/>
          <w:szCs w:val="22"/>
        </w:rPr>
        <w:t xml:space="preserve">All critical estate documents are in the family Google Drive: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Login</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stsirius99@gmail.com</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Password</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@124Thomas</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Folder</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Read If I Am Not Here</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Contents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Both wills (PDF) · Property documents · This estate record · David's personal message (Smriti)</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 to take over</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This Google account should be managed by Amanda after David passes</w:t>
            </w:r>
          </w:p>
        </w:tc>
      </w:tr>
    </w:tbl>
    <w:p>
      <w:r>
        <w:br w:type="page"/>
      </w:r>
    </w:p>
    <w:p>
      <w:pPr>
        <w:pStyle w:val="Heading1"/>
        <w:spacing w:after="160" w:before="400"/>
      </w:pPr>
      <w:r>
        <w:rPr>
          <w:rFonts w:ascii="Arial" w:cs="Arial" w:eastAsia="Arial" w:hAnsi="Arial"/>
          <w:b/>
          <w:bCs/>
          <w:color w:val="1F3864"/>
          <w:sz w:val="32"/>
          <w:szCs w:val="32"/>
        </w:rPr>
        <w:t xml:space="preserve">Section B — Identity Documents</w:t>
      </w: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gridCol w:w="2400"/>
        <w:gridCol w:w="1800"/>
      </w:tblGrid>
      <w:tr>
        <w:trPr>
          <w:tblHeader/>
        </w:trPr>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Person</w:t>
            </w:r>
          </w:p>
        </w:tc>
        <w:tc>
          <w:tcPr>
            <w:tcW w:type="dxa" w:w="3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Full Legal Name</w:t>
            </w:r>
          </w:p>
        </w:tc>
        <w:tc>
          <w:tcPr>
            <w:tcW w:type="dxa" w:w="2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NRIC</w:t>
            </w:r>
          </w:p>
        </w:tc>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Date of Birth</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w:t>
            </w:r>
          </w:p>
        </w:tc>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 SOLOMON A/L NEELA THOMAS JOSHUA</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630613-08-5825</w:t>
            </w:r>
          </w:p>
        </w:tc>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13 June 1963</w:t>
            </w:r>
          </w:p>
        </w:tc>
      </w:tr>
      <w:tr>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w:t>
            </w:r>
          </w:p>
        </w:tc>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BATSHEBARANI A/P RATNAMANI</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660609-10-6686</w:t>
            </w:r>
          </w:p>
        </w:tc>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9 June 1966</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w:t>
            </w:r>
          </w:p>
        </w:tc>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 SANGEETHA THOMAS</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910221-10-5450</w:t>
            </w:r>
          </w:p>
        </w:tc>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 February 1991</w:t>
            </w:r>
          </w:p>
        </w:tc>
      </w:tr>
      <w:tr>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Jerusha</w:t>
            </w:r>
          </w:p>
        </w:tc>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JERUSHA CRISHANTINI THOMAS</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930624-10-5410</w:t>
            </w:r>
          </w:p>
        </w:tc>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24 June 1993</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Manuval Thomas</w:t>
            </w:r>
          </w:p>
        </w:tc>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David's brother — Alternate Executor 2</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650309-10-6063</w:t>
            </w:r>
          </w:p>
        </w:tc>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Sebastian Thomas</w:t>
            </w:r>
          </w:p>
        </w:tc>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David's brother — Residuary contingency</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611025-10-6393</w:t>
            </w:r>
          </w:p>
        </w:tc>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r>
    </w:tbl>
    <w:p>
      <w:pPr>
        <w:spacing w:after="100" w:before="100"/>
      </w:pPr>
      <w:r>
        <w:t xml:space="preserve"/>
      </w:r>
    </w:p>
    <w:p>
      <w:pPr>
        <w:spacing w:after="60" w:before="60"/>
      </w:pPr>
      <w:r>
        <w:rPr>
          <w:rFonts w:ascii="Arial" w:cs="Arial" w:eastAsia="Arial" w:hAnsi="Arial"/>
          <w:sz w:val="22"/>
          <w:szCs w:val="22"/>
        </w:rPr>
        <w:t xml:space="preserve">Income Tax Reference Numbers:  David — IG 3347387000  |  Betsy — IG 10539249090</w:t>
      </w:r>
    </w:p>
    <w:p>
      <w:r>
        <w:br w:type="page"/>
      </w:r>
    </w:p>
    <w:p>
      <w:pPr>
        <w:pStyle w:val="Heading1"/>
        <w:spacing w:after="160" w:before="400"/>
      </w:pPr>
      <w:r>
        <w:rPr>
          <w:rFonts w:ascii="Arial" w:cs="Arial" w:eastAsia="Arial" w:hAnsi="Arial"/>
          <w:b/>
          <w:bCs/>
          <w:color w:val="1F3864"/>
          <w:sz w:val="32"/>
          <w:szCs w:val="32"/>
        </w:rPr>
        <w:t xml:space="preserve">Section C — Wills</w:t>
      </w:r>
    </w:p>
    <w:p>
      <w:pPr>
        <w:pStyle w:val="Heading2"/>
        <w:spacing w:after="120" w:before="280"/>
      </w:pPr>
      <w:r>
        <w:rPr>
          <w:rFonts w:ascii="Arial" w:cs="Arial" w:eastAsia="Arial" w:hAnsi="Arial"/>
          <w:b/>
          <w:bCs/>
          <w:color w:val="1F3864"/>
          <w:sz w:val="26"/>
          <w:szCs w:val="26"/>
        </w:rPr>
        <w:t xml:space="preserve">David's Will — 6 April 2025 (VALID)</w:t>
      </w:r>
    </w:p>
    <w:p>
      <w:pPr>
        <w:spacing w:after="60" w:before="60"/>
      </w:pPr>
      <w:r>
        <w:rPr>
          <w:rFonts w:ascii="Arial" w:cs="Arial" w:eastAsia="Arial" w:hAnsi="Arial"/>
          <w:sz w:val="22"/>
          <w:szCs w:val="22"/>
        </w:rPr>
        <w:t xml:space="preserve">This is David's current valid will. It supersedes any earlier Rockwills version (marked NOT VALID in Google Drive).</w:t>
      </w:r>
    </w:p>
    <w:p>
      <w:pPr>
        <w:spacing w:after="100" w:before="1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Person</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Primary Executor</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 (Batshebarani A/P Ratnamani)</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Alternate Executor 1</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Amanda Sangeetha Thomas</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Alternate Executor 2</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Manuval Thomas (David's brother)</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What Goes to Whom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3200"/>
      </w:tblGrid>
      <w:tr>
        <w:trPr>
          <w:tblHeader/>
        </w:trPr>
        <w:tc>
          <w:tcPr>
            <w:tcW w:type="dxa" w:w="3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w:t>
            </w:r>
          </w:p>
        </w:tc>
        <w:tc>
          <w:tcPr>
            <w:tcW w:type="dxa" w:w="2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Beneficiary</w:t>
            </w:r>
          </w:p>
        </w:tc>
        <w:tc>
          <w:tcPr>
            <w:tcW w:type="dxa" w:w="3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If Betsy predeceases</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All bank accounts (sole name)</w:t>
            </w:r>
          </w:p>
        </w:tc>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w:t>
            </w:r>
          </w:p>
        </w:tc>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50/50 Amanda and Jerusha</w:t>
            </w:r>
          </w:p>
        </w:tc>
      </w:tr>
      <w:tr>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All properties</w:t>
            </w:r>
          </w:p>
        </w:tc>
        <w:tc>
          <w:tcPr>
            <w:tcW w:type="dxa" w:w="2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w:t>
            </w:r>
          </w:p>
        </w:tc>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50/50 Amanda and Jerusha</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All vehicles</w:t>
            </w:r>
          </w:p>
        </w:tc>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w:t>
            </w:r>
          </w:p>
        </w:tc>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Daughters choose by rotation</w:t>
            </w:r>
          </w:p>
        </w:tc>
      </w:tr>
      <w:tr>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EPF, unit trusts, investments</w:t>
            </w:r>
          </w:p>
        </w:tc>
        <w:tc>
          <w:tcPr>
            <w:tcW w:type="dxa" w:w="2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w:t>
            </w:r>
          </w:p>
        </w:tc>
        <w:tc>
          <w:tcPr>
            <w:tcW w:type="dxa" w:w="3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50/50 Amanda and Jerusha</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Residuary estate</w:t>
            </w:r>
          </w:p>
        </w:tc>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w:t>
            </w:r>
          </w:p>
        </w:tc>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50/50 Manuval and Sebastian</w:t>
            </w:r>
          </w:p>
        </w:tc>
      </w:tr>
    </w:tbl>
    <w:p>
      <w:pPr>
        <w:spacing w:after="80" w:before="80"/>
        <w:ind w:left="360"/>
      </w:pPr>
      <w:r>
        <w:rPr>
          <w:rFonts w:ascii="Arial" w:cs="Arial" w:eastAsia="Arial" w:hAnsi="Arial"/>
          <w:i/>
          <w:iCs/>
          <w:color w:val="555555"/>
          <w:sz w:val="20"/>
          <w:szCs w:val="20"/>
        </w:rPr>
        <w:t xml:space="preserve">30-day survivorship clause applies throughout.</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Betsy's Will — 6 April 2025 (VALID)</w:t>
      </w:r>
    </w:p>
    <w:p>
      <w:pPr>
        <w:spacing w:after="60" w:before="60"/>
      </w:pPr>
      <w:r>
        <w:rPr>
          <w:rFonts w:ascii="Arial" w:cs="Arial" w:eastAsia="Arial" w:hAnsi="Arial"/>
          <w:sz w:val="22"/>
          <w:szCs w:val="22"/>
        </w:rPr>
        <w:t xml:space="preserve">Mirror structure. Primary Executor: David. Alternate 1: Amanda. Alternate 2: Manuval Thomas.</w:t>
      </w:r>
    </w:p>
    <w:p>
      <w:pPr>
        <w:spacing w:after="80" w:before="80"/>
        <w:ind w:left="360"/>
      </w:pPr>
      <w:r>
        <w:rPr>
          <w:rFonts w:ascii="Arial" w:cs="Arial" w:eastAsia="Arial" w:hAnsi="Arial"/>
          <w:i/>
          <w:iCs/>
          <w:color w:val="555555"/>
          <w:sz w:val="20"/>
          <w:szCs w:val="20"/>
        </w:rPr>
        <w:t xml:space="preserve">Minor NRIC typo in Betsy's will signature block — reads 660609-10-6866 instead of 660609-10-6686. Typographical error only, not a legal problem. Amanda should note this when engaging the probate lawyer.</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Physical Location of Original Wills</w:t>
      </w:r>
    </w:p>
    <w:p>
      <w:pPr>
        <w:spacing w:after="60" w:before="60"/>
      </w:pPr>
      <w:r>
        <w:rPr>
          <w:rFonts w:ascii="Arial" w:cs="Arial" w:eastAsia="Arial" w:hAnsi="Arial"/>
          <w:sz w:val="22"/>
          <w:szCs w:val="22"/>
        </w:rPr>
        <w:t xml:space="preserve">Home office estate folder — the red folder on David's shelf.</w:t>
      </w:r>
    </w:p>
    <w:p>
      <w:pPr>
        <w:spacing w:after="60" w:before="60"/>
      </w:pPr>
      <w:r>
        <w:rPr>
          <w:rFonts w:ascii="Arial" w:cs="Arial" w:eastAsia="Arial" w:hAnsi="Arial"/>
          <w:sz w:val="22"/>
          <w:szCs w:val="22"/>
        </w:rPr>
        <w:t xml:space="preserve">PDF copies are also in Google Drive: stsirius99@gmail.com → Read If I Am Not Here → Wills.</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No Family Lawyer Pre-Appointed</w:t>
      </w:r>
    </w:p>
    <w:p>
      <w:pPr>
        <w:spacing w:after="60" w:before="60"/>
      </w:pPr>
      <w:r>
        <w:rPr>
          <w:rFonts w:ascii="Arial" w:cs="Arial" w:eastAsia="Arial" w:hAnsi="Arial"/>
          <w:sz w:val="22"/>
          <w:szCs w:val="22"/>
        </w:rPr>
        <w:t xml:space="preserve">David made a deliberate decision not to pre-appoint a family lawyer. When needed, Amanda should engage a probate lawyer directly.</w:t>
      </w:r>
    </w:p>
    <w:p>
      <w:r>
        <w:br w:type="page"/>
      </w:r>
    </w:p>
    <w:p>
      <w:pPr>
        <w:pStyle w:val="Heading1"/>
        <w:spacing w:after="160" w:before="400"/>
      </w:pPr>
      <w:r>
        <w:rPr>
          <w:rFonts w:ascii="Arial" w:cs="Arial" w:eastAsia="Arial" w:hAnsi="Arial"/>
          <w:b/>
          <w:bCs/>
          <w:color w:val="1F3864"/>
          <w:sz w:val="32"/>
          <w:szCs w:val="32"/>
        </w:rPr>
        <w:t xml:space="preserve">Section D — Bank Accounts</w:t>
      </w:r>
    </w:p>
    <w:p>
      <w:pPr>
        <w:pStyle w:val="Heading2"/>
        <w:spacing w:after="120" w:before="280"/>
      </w:pPr>
      <w:r>
        <w:rPr>
          <w:rFonts w:ascii="Arial" w:cs="Arial" w:eastAsia="Arial" w:hAnsi="Arial"/>
          <w:b/>
          <w:bCs/>
          <w:color w:val="1F3864"/>
          <w:sz w:val="26"/>
          <w:szCs w:val="26"/>
        </w:rPr>
        <w:t xml:space="preserve">D1 — Maybank — David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00"/>
      </w:tblGrid>
      <w:tr>
        <w:trPr>
          <w:tblHeader/>
        </w:trPr>
        <w:tc>
          <w:tcPr>
            <w:tcW w:type="dxa" w:w="2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Account</w:t>
            </w:r>
          </w:p>
        </w:tc>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Number</w:t>
            </w:r>
          </w:p>
        </w:tc>
        <w:tc>
          <w:tcPr>
            <w:tcW w:type="dxa" w:w="3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Savings</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1142 5323 1006</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Primary personal account — utility bills, personal and household expenses</w:t>
            </w:r>
          </w:p>
        </w:tc>
      </w:tr>
      <w:tr>
        <w:tc>
          <w:tcPr>
            <w:tcW w:type="dxa" w:w="2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Current</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0142 5321 2061</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Operational</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Premier 1</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5141 6915 0531</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2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Visa Infinite Credit Card</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ending 5291 (limit RM 30,000)</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r>
    </w:tbl>
    <w:p>
      <w:pPr>
        <w:spacing w:after="80" w:before="80"/>
        <w:ind w:left="360"/>
      </w:pPr>
      <w:r>
        <w:rPr>
          <w:rFonts w:ascii="Arial" w:cs="Arial" w:eastAsia="Arial" w:hAnsi="Arial"/>
          <w:i/>
          <w:iCs/>
          <w:color w:val="555555"/>
          <w:sz w:val="20"/>
          <w:szCs w:val="20"/>
        </w:rPr>
        <w:t xml:space="preserve">Maybank2u login: dsdavid / @124Sydney  |  maybank2u.com.my</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D2 — Maybank — Betsy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00"/>
      </w:tblGrid>
      <w:tr>
        <w:trPr>
          <w:tblHeader/>
        </w:trPr>
        <w:tc>
          <w:tcPr>
            <w:tcW w:type="dxa" w:w="2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Account</w:t>
            </w:r>
          </w:p>
        </w:tc>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Number</w:t>
            </w:r>
          </w:p>
        </w:tc>
        <w:tc>
          <w:tcPr>
            <w:tcW w:type="dxa" w:w="3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Savings</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1123 4408 5300</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PRIMARY HOUSEHOLD ACCOUNT. All rental income collected here. Household groceries (supplementary card).</w:t>
            </w:r>
          </w:p>
        </w:tc>
      </w:tr>
    </w:tbl>
    <w:p>
      <w:pPr>
        <w:spacing w:after="80" w:before="80"/>
        <w:ind w:left="360"/>
      </w:pPr>
      <w:r>
        <w:rPr>
          <w:rFonts w:ascii="Arial" w:cs="Arial" w:eastAsia="Arial" w:hAnsi="Arial"/>
          <w:i/>
          <w:iCs/>
          <w:color w:val="555555"/>
          <w:sz w:val="20"/>
          <w:szCs w:val="20"/>
        </w:rPr>
        <w:t xml:space="preserve">Maybank2u login: Batshebarani / @124Sydney</w:t>
      </w:r>
    </w:p>
    <w:p>
      <w:pPr>
        <w:spacing w:after="80" w:before="80"/>
        <w:ind w:left="360"/>
      </w:pPr>
      <w:r>
        <w:rPr>
          <w:rFonts w:ascii="Arial" w:cs="Arial" w:eastAsia="Arial" w:hAnsi="Arial"/>
          <w:i/>
          <w:iCs/>
          <w:color w:val="555555"/>
          <w:sz w:val="20"/>
          <w:szCs w:val="20"/>
        </w:rPr>
        <w:t xml:space="preserve">All four rental properties pay rent into this account. This is the household operational account.</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D3 — Bank Rakyat — Fixed Deposit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800,000</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Interest rate</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3.4% per annum (~RM 27,200/year)</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Term</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12 months — placed 1 April 2026 — matures April 2027</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Joint accounts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221381151988  |  2242582424</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Physical FD certificates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Safety deposit box — Public Bank, Jalan Raja Laut branch, Kuala Lumpur</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Action</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Amanda to visit Public Bank branch with death certificate and probate letter. Bring Betsy. Collect FD certificates.</w:t>
            </w:r>
          </w:p>
        </w:tc>
      </w:tr>
    </w:tbl>
    <w:p>
      <w:pPr>
        <w:spacing w:after="80" w:before="80"/>
        <w:ind w:left="360"/>
      </w:pPr>
      <w:r>
        <w:rPr>
          <w:rFonts w:ascii="Arial" w:cs="Arial" w:eastAsia="Arial" w:hAnsi="Arial"/>
          <w:i/>
          <w:iCs/>
          <w:color w:val="555555"/>
          <w:sz w:val="20"/>
          <w:szCs w:val="20"/>
        </w:rPr>
        <w:t xml:space="preserve">Bank Rakyat login: 2124dtdavid / @124Solomon  |  Branch: Unit F03 &amp; F03A, Fasa 1, Glomac Cyberjaya — 03-8318 1655</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D4 — Standard Chartered</w:t>
      </w:r>
    </w:p>
    <w:p>
      <w:pPr>
        <w:spacing w:after="60" w:before="60"/>
      </w:pPr>
      <w:r>
        <w:rPr>
          <w:rFonts w:ascii="Arial" w:cs="Arial" w:eastAsia="Arial" w:hAnsi="Arial"/>
          <w:sz w:val="22"/>
          <w:szCs w:val="22"/>
        </w:rPr>
        <w:t xml:space="preserve">SC account used for online payments and recurring subscriptions, including Anthropic/Claude, Grok/X, and Mac Mini payments.</w:t>
      </w:r>
    </w:p>
    <w:p>
      <w:pPr>
        <w:spacing w:after="60" w:before="60"/>
      </w:pPr>
      <w:r>
        <w:rPr>
          <w:rFonts w:ascii="Arial" w:cs="Arial" w:eastAsia="Arial" w:hAnsi="Arial"/>
          <w:sz w:val="22"/>
          <w:szCs w:val="22"/>
        </w:rPr>
        <w:t xml:space="preserve">Betsy holds a supplementary card from this account used for household groceries.</w:t>
      </w:r>
    </w:p>
    <w:p>
      <w:pPr>
        <w:spacing w:after="80" w:before="80"/>
        <w:ind w:left="360"/>
      </w:pPr>
      <w:r>
        <w:rPr>
          <w:rFonts w:ascii="Arial" w:cs="Arial" w:eastAsia="Arial" w:hAnsi="Arial"/>
          <w:i/>
          <w:iCs/>
          <w:color w:val="555555"/>
          <w:sz w:val="20"/>
          <w:szCs w:val="20"/>
        </w:rPr>
        <w:t xml:space="preserve">SC online login: 2124dtdavid / 2124Solomon</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D5 — Other Accounts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500"/>
      </w:tblGrid>
      <w:tr>
        <w:trPr>
          <w:tblHeader/>
        </w:trPr>
        <w:tc>
          <w:tcPr>
            <w:tcW w:type="dxa" w:w="2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Bank</w:t>
            </w:r>
          </w:p>
        </w:tc>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Login</w:t>
            </w:r>
          </w:p>
        </w:tc>
      </w:tr>
      <w:tr>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Affin Bank</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3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2124dtdavid / @124Betsy  |  rib.affinalways.com</w:t>
            </w:r>
          </w:p>
        </w:tc>
      </w:tr>
      <w:tr>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Citibank (4463237004)</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3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2124dtdavid / 2124Sydney</w:t>
            </w:r>
          </w:p>
        </w:tc>
      </w:tr>
      <w:tr>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CIMB Personal</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Eight Kinrara home loan — FULLY SETTLED June 2026</w:t>
            </w:r>
          </w:p>
        </w:tc>
        <w:tc>
          <w:tcPr>
            <w:tcW w:type="dxa" w:w="3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2124dtdavid / @124Solomon</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D6 — Fixed Deposits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Maybank FD</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64,500 — auto-renewing — no action required</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Bank Rakyat FD</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800,000 — see D3 above</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D7 — EPF Accounts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2000"/>
        <w:gridCol w:w="3700"/>
      </w:tblGrid>
      <w:tr>
        <w:trPr>
          <w:tblHeader/>
        </w:trPr>
        <w:tc>
          <w:tcPr>
            <w:tcW w:type="dxa" w:w="1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Person</w:t>
            </w:r>
          </w:p>
        </w:tc>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Member No.</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Nominee</w:t>
            </w:r>
          </w:p>
        </w:tc>
        <w:tc>
          <w:tcPr>
            <w:tcW w:type="dxa" w:w="3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w:t>
            </w:r>
          </w:p>
        </w:tc>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10528370</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w:t>
            </w:r>
          </w:p>
        </w:tc>
        <w:tc>
          <w:tcPr>
            <w:tcW w:type="dxa" w:w="37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147,898.10 as at 18 June 2026. Top-up of RM 100,000 in progress (RM 50K done March 2026, balance RM 50K due late June 2026).</w:t>
            </w:r>
          </w:p>
        </w:tc>
      </w:tr>
      <w:tr>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Betsy</w:t>
            </w:r>
          </w:p>
        </w:tc>
        <w:tc>
          <w:tcPr>
            <w:tcW w:type="dxa" w:w="1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 (note: if David predeceases, Betsy accesses her own account directly)</w:t>
            </w:r>
          </w:p>
        </w:tc>
        <w:tc>
          <w:tcPr>
            <w:tcW w:type="dxa" w:w="37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100,000 top-up in progress June 2026.</w:t>
            </w:r>
          </w:p>
        </w:tc>
      </w:tr>
    </w:tbl>
    <w:p>
      <w:pPr>
        <w:spacing w:after="80" w:before="80"/>
        <w:ind w:left="360"/>
      </w:pPr>
      <w:r>
        <w:rPr>
          <w:rFonts w:ascii="Arial" w:cs="Arial" w:eastAsia="Arial" w:hAnsi="Arial"/>
          <w:i/>
          <w:iCs/>
          <w:color w:val="555555"/>
          <w:sz w:val="20"/>
          <w:szCs w:val="20"/>
        </w:rPr>
        <w:t xml:space="preserve">EPF contact: 03-8922 6000  |  kwsp.gov.my  |  Any KWSP branch</w:t>
      </w:r>
    </w:p>
    <w:p>
      <w:pPr>
        <w:spacing w:after="80" w:before="80"/>
        <w:ind w:left="360"/>
      </w:pPr>
      <w:r>
        <w:rPr>
          <w:rFonts w:ascii="Arial" w:cs="Arial" w:eastAsia="Arial" w:hAnsi="Arial"/>
          <w:i/>
          <w:iCs/>
          <w:color w:val="555555"/>
          <w:sz w:val="20"/>
          <w:szCs w:val="20"/>
        </w:rPr>
        <w:t xml:space="preserve">David's EPF i-Akaun login: dtdavid2124 / @124Sydney</w:t>
      </w:r>
    </w:p>
    <w:p>
      <w:r>
        <w:br w:type="page"/>
      </w:r>
    </w:p>
    <w:p>
      <w:pPr>
        <w:pStyle w:val="Heading1"/>
        <w:spacing w:after="160" w:before="400"/>
      </w:pPr>
      <w:r>
        <w:rPr>
          <w:rFonts w:ascii="Arial" w:cs="Arial" w:eastAsia="Arial" w:hAnsi="Arial"/>
          <w:b/>
          <w:bCs/>
          <w:color w:val="1F3864"/>
          <w:sz w:val="32"/>
          <w:szCs w:val="32"/>
        </w:rPr>
        <w:t xml:space="preserve">Section E — Properties</w:t>
      </w:r>
    </w:p>
    <w:p>
      <w:pPr>
        <w:spacing w:after="60" w:before="60"/>
      </w:pPr>
      <w:r>
        <w:rPr>
          <w:rFonts w:ascii="Arial" w:cs="Arial" w:eastAsia="Arial" w:hAnsi="Arial"/>
          <w:sz w:val="22"/>
          <w:szCs w:val="22"/>
        </w:rPr>
        <w:t xml:space="preserve">David and Betsy own five properties. All are fully owned — no outstanding mortgages.</w:t>
      </w:r>
    </w:p>
    <w:p>
      <w:pPr>
        <w:spacing w:after="100" w:before="100"/>
      </w:pPr>
      <w:r>
        <w:t xml:space="preserve"/>
      </w:r>
    </w:p>
    <w:p>
      <w:pPr>
        <w:pStyle w:val="Heading2"/>
        <w:spacing w:after="120" w:before="280"/>
      </w:pPr>
      <w:r>
        <w:rPr>
          <w:rFonts w:ascii="Arial" w:cs="Arial" w:eastAsia="Arial" w:hAnsi="Arial"/>
          <w:b/>
          <w:bCs/>
          <w:color w:val="1F3864"/>
          <w:sz w:val="26"/>
          <w:szCs w:val="26"/>
        </w:rPr>
        <w:t xml:space="preserve">E1 — Family Home  |  No. 1, Jalan BK 6B/1B, Bandar Kinrara, 47180 Puchong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Status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Owner-occupied. David and Betsy's home.</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Title</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HS(D) 138542, PT 3175, Mukim Petaling</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Loan</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Fully paid off</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MPSJ Assessment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0501020160697900</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TNB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220231985209  |  Solar: 230000225610</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Air Selangor (water)</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SOA0756121000</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Annual security</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3,600/year — paid to local Treasurer. NLC (Northern Lights Communication, agreement DTHOMAS-042023-031-AG-FL) is the pest control contractor.</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Solar panels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Solar Naturally — ref 4504</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Home insurance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To be purchased — not yet held</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E2 — Eight Kinrara A-07-03  |  Investment Property (Tenanted)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Address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A-7-3, Eight Kinrara, Jalan BK 5A/3B, Bandar Kinrara, 47180 Puchong</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Tenant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Christopher Lee — from 1 July 2026</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Rent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2,500/month — into Betsy's Maybank 1123 4408 5300</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Security deposit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4,800 held</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Loan</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CIMB HomeLoan A13126400918 — FULLY SETTLED June 2026</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JMB</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Perbadanan Pengurusan Eight Kinrara  |  Maybank 564838676268  |  018-9863356</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TNB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220245963704</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MPSJ account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0501021600005600  |  RM 145.50 half-year</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Fire insurance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Current — ~RM 139/year</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E3 — Shaftsbury B-19-10  |  Investment Property (Tenanted)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Address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B-19-10, Shaftsbury Residences, Jalan Impact, Cyber 6, 63000 Cyberjaya</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Registered owners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 AND Betsy (joint title)</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NSB Top Enterprise — contact: Siew Jia Yet (Jack), NRIC 930818-xx-5873</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Rent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1,500/month — into Betsy's Maybank 1123 4408 5300</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Tenancy</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Tenanted from March 2026</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Security deposit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2,400 held</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Title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Geran 169497, Lot 33070, Mukim Dengkil, Daerah Sepang</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Loan</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No loan — unencumbered</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TNB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210016495908</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IWK account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94804960</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MPSJ</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Included in JMB invoice — RM 18.31/year</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Fire insurance</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Bundled in JMB maintenance</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Conveyancing lawyer</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Messrs C.J. Lee &amp; Ding — 03-6277 3211</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E4 — Sri Kasturi B-04-04  |  Investment Property (Tenanted)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Address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B-04-04, Sri Kasturi Apartment, Kuala Lumpur</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Status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Tenanted — RM 1,100/month</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Loan</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No loan — unencumbered</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TNB account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220085401005</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IWK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59638593</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MPSJ account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0501020160582400  |  RM 102.00 half-year</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Fire insurance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Covered by JMB — included in maintenance fees</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JMB</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Perbadanan Pengurusan Pangsapuri Seri Kasturi  |  CIMB 8003 5474 77</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E5 — Palm Court C-08-06  |  Investment Property (Tenanted)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Address</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C-08-06, Block C, Palm Court Condominium, Jalan Sultan Abdul Samad, 50470 Kuala Lumpur</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Registered owners</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 AND Betsy (joint title)</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Three occupants from October 2025</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Rent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2,200/month — into Betsy's Maybank 1123 4408 5300</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Title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PN 30713 / M4 / 9 / 559, Bangunan M4, Tingkat 9, Petak 559, Lot 500 Seksyen 72, Bandar KL</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Loan</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SC MortgageOne 44824637 — FULLY REDEEMED 2020. Discharge of Charge completed.</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TNB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220002281808</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DBKL account</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1611210983183</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IWK account</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28649572</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Air Selangor</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SOA5270834696</w:t>
            </w:r>
          </w:p>
        </w:tc>
      </w:tr>
      <w:tr>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Fire insurance</w:t>
            </w:r>
          </w:p>
        </w:tc>
        <w:tc>
          <w:tcPr>
            <w:tcW w:type="dxa" w:w="6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Covered by JMB — included in maintenance fees</w:t>
            </w:r>
          </w:p>
        </w:tc>
      </w:tr>
      <w:tr>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Conveyancing lawyer</w:t>
            </w:r>
          </w:p>
        </w:tc>
        <w:tc>
          <w:tcPr>
            <w:tcW w:type="dxa" w:w="6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Messrs C.J. Lee &amp; Ding (Leonard Lee) — 03-6277 3211</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E6 — Rental Income Summary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000"/>
      </w:tblGrid>
      <w:tr>
        <w:trPr>
          <w:tblHeader/>
        </w:trPr>
        <w:tc>
          <w:tcPr>
            <w:tcW w:type="dxa" w:w="3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Property</w:t>
            </w:r>
          </w:p>
        </w:tc>
        <w:tc>
          <w:tcPr>
            <w:tcW w:type="dxa" w:w="2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Monthly Rent</w:t>
            </w:r>
          </w:p>
        </w:tc>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Eight Kinrara A-07-03</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2,500</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Tenanted from 1 July 2026</w:t>
            </w:r>
          </w:p>
        </w:tc>
      </w:tr>
      <w:tr>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Palm Court C-08-06</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2,200</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Tenanted</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Shaftsbury B-19-10</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1,500</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Tenanted</w:t>
            </w:r>
          </w:p>
        </w:tc>
      </w:tr>
      <w:tr>
        <w:tc>
          <w:tcPr>
            <w:tcW w:type="dxa" w:w="36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Sri Kasturi B-04-04</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1,100</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Tenanted</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TOTAL</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7,300/month</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87,600/year</w:t>
            </w:r>
          </w:p>
        </w:tc>
      </w:tr>
    </w:tbl>
    <w:p>
      <w:pPr>
        <w:spacing w:after="80" w:before="80"/>
        <w:ind w:left="360"/>
      </w:pPr>
      <w:r>
        <w:rPr>
          <w:rFonts w:ascii="Arial" w:cs="Arial" w:eastAsia="Arial" w:hAnsi="Arial"/>
          <w:i/>
          <w:iCs/>
          <w:color w:val="555555"/>
          <w:sz w:val="20"/>
          <w:szCs w:val="20"/>
        </w:rPr>
        <w:t xml:space="preserve">All rent flows into Betsy's Maybank account 1123 4408 5300.</w:t>
      </w:r>
    </w:p>
    <w:p>
      <w:r>
        <w:br w:type="page"/>
      </w:r>
    </w:p>
    <w:p>
      <w:pPr>
        <w:pStyle w:val="Heading1"/>
        <w:spacing w:after="160" w:before="400"/>
      </w:pPr>
      <w:r>
        <w:rPr>
          <w:rFonts w:ascii="Arial" w:cs="Arial" w:eastAsia="Arial" w:hAnsi="Arial"/>
          <w:b/>
          <w:bCs/>
          <w:color w:val="1F3864"/>
          <w:sz w:val="32"/>
          <w:szCs w:val="32"/>
        </w:rPr>
        <w:t xml:space="preserve">Section F — Vehicles</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000"/>
        <w:gridCol w:w="2000"/>
        <w:gridCol w:w="1500"/>
      </w:tblGrid>
      <w:tr>
        <w:trPr>
          <w:tblHeader/>
        </w:trPr>
        <w:tc>
          <w:tcPr>
            <w:tcW w:type="dxa" w:w="1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Plate</w:t>
            </w:r>
          </w:p>
        </w:tc>
        <w:tc>
          <w:tcPr>
            <w:tcW w:type="dxa" w:w="2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Vehicle</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Owner</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Insurance</w:t>
            </w:r>
          </w:p>
        </w:tc>
        <w:tc>
          <w:tcPr>
            <w:tcW w:type="dxa" w:w="1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WCY1423</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Honda City 1.5L i-VTEC 2011</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 (Betsy's car)</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Berjaya Sompo — current to Nov 2026</w:t>
            </w:r>
          </w:p>
        </w:tc>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Active</w:t>
            </w:r>
          </w:p>
        </w:tc>
      </w:tr>
      <w:tr>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WWQ4822</w:t>
            </w:r>
          </w:p>
        </w:tc>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BMW 520i Limousine 2012</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Takaful Malaysia — valid to 21 Dec 2026</w:t>
            </w:r>
          </w:p>
        </w:tc>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Active</w:t>
            </w:r>
          </w:p>
        </w:tc>
      </w:tr>
      <w:tr>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F4822</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Ford Ranger 2.0L Wildtrak 4WD AT 2023</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 Solomon Thomas</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Takaful Malaysia AM Bhd — valid 25/09/2025–24/09/2026</w:t>
            </w:r>
          </w:p>
        </w:tc>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Active</w:t>
            </w:r>
          </w:p>
        </w:tc>
      </w:tr>
      <w:tr>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W4822R</w:t>
            </w:r>
          </w:p>
        </w:tc>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Perodua Myvi 1.3 2014</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Amanda</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Active — details with Amanda</w:t>
            </w:r>
          </w:p>
        </w:tc>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Used by Jerusha</w:t>
            </w:r>
          </w:p>
        </w:tc>
      </w:tr>
      <w:tr>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AMU4822</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Motorcycle 2012</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Not maintained</w:t>
            </w:r>
          </w:p>
        </w:tc>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Inactive</w:t>
            </w:r>
          </w:p>
        </w:tc>
      </w:tr>
      <w:tr>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WPD1658</w:t>
            </w:r>
          </w:p>
        </w:tc>
        <w:tc>
          <w:tcPr>
            <w:tcW w:type="dxa" w:w="2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1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SOLD</w:t>
            </w:r>
          </w:p>
        </w:tc>
      </w:tr>
      <w:tr>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PATRIOT4822</w:t>
            </w:r>
          </w:p>
        </w:tc>
        <w:tc>
          <w:tcPr>
            <w:tcW w:type="dxa" w:w="2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Porsche 911</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SOLD December 2021</w:t>
            </w:r>
          </w:p>
        </w:tc>
      </w:tr>
    </w:tbl>
    <w:p>
      <w:pPr>
        <w:spacing w:after="100" w:before="100"/>
      </w:pPr>
      <w:r>
        <w:t xml:space="preserve"/>
      </w:r>
    </w:p>
    <w:p>
      <w:pPr>
        <w:spacing w:after="80" w:before="80"/>
        <w:ind w:left="360"/>
      </w:pPr>
      <w:r>
        <w:rPr>
          <w:rFonts w:ascii="Arial" w:cs="Arial" w:eastAsia="Arial" w:hAnsi="Arial"/>
          <w:i/>
          <w:iCs/>
          <w:color w:val="555555"/>
          <w:sz w:val="20"/>
          <w:szCs w:val="20"/>
        </w:rPr>
        <w:t xml:space="preserve">F4822 (Ford Ranger) is registered to David personally.</w:t>
      </w:r>
    </w:p>
    <w:p>
      <w:r>
        <w:br w:type="page"/>
      </w:r>
    </w:p>
    <w:p>
      <w:pPr>
        <w:pStyle w:val="Heading1"/>
        <w:spacing w:after="160" w:before="400"/>
      </w:pPr>
      <w:r>
        <w:rPr>
          <w:rFonts w:ascii="Arial" w:cs="Arial" w:eastAsia="Arial" w:hAnsi="Arial"/>
          <w:b/>
          <w:bCs/>
          <w:color w:val="1F3864"/>
          <w:sz w:val="32"/>
          <w:szCs w:val="32"/>
        </w:rPr>
        <w:t xml:space="preserve">Section G — Insurance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1900"/>
        <w:gridCol w:w="2300"/>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Policy</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Insurer</w:t>
            </w:r>
          </w:p>
        </w:tc>
        <w:tc>
          <w:tcPr>
            <w:tcW w:type="dxa" w:w="19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23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Life insurance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NONE HELD</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 does not hold life insurance</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Family home fire/contents (1BK6B1B)</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19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2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To be purchased — not yet held as at June 2026</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Eight Kinrara fire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Current</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139/year</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Shaftsbury fire</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c>
          <w:tcPr>
            <w:tcW w:type="dxa" w:w="19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Current</w:t>
            </w:r>
          </w:p>
        </w:tc>
        <w:tc>
          <w:tcPr>
            <w:tcW w:type="dxa" w:w="2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Bundled in JMB maintenance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Sri Kasturi fire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JMB</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Current</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Covered by JMB fees</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Palm Court fire</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JMB</w:t>
            </w:r>
          </w:p>
        </w:tc>
        <w:tc>
          <w:tcPr>
            <w:tcW w:type="dxa" w:w="19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Current</w:t>
            </w:r>
          </w:p>
        </w:tc>
        <w:tc>
          <w:tcPr>
            <w:tcW w:type="dxa" w:w="2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Covered by JMB fees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WCY1423 (David's Honda City)</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Berjaya Sompo</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Current to Nov 2026</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Policy password: 85825</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WWQ4822 (BMW)</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Takaful Malaysia AM Bhd</w:t>
            </w:r>
          </w:p>
        </w:tc>
        <w:tc>
          <w:tcPr>
            <w:tcW w:type="dxa" w:w="19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Current to 21 Dec 2026</w:t>
            </w:r>
          </w:p>
        </w:tc>
        <w:tc>
          <w:tcPr>
            <w:tcW w:type="dxa" w:w="2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Confirmed June 2026</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F4822 (Ford Ranger)</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Takaful Malaysia AM Bhd</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Current to 24 Sep 2026</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Confirmed June 2026</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W4822R (Myvi)</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TBC</w:t>
            </w:r>
          </w:p>
        </w:tc>
        <w:tc>
          <w:tcPr>
            <w:tcW w:type="dxa" w:w="19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Active — details with Amanda</w:t>
            </w:r>
          </w:p>
        </w:tc>
        <w:tc>
          <w:tcPr>
            <w:tcW w:type="dxa" w:w="23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AMU4822 (Motorcycle)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9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Not maintained</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Inactive vehicle — no action</w:t>
            </w:r>
          </w:p>
        </w:tc>
      </w:tr>
    </w:tbl>
    <w:p>
      <w:r>
        <w:br w:type="page"/>
      </w:r>
    </w:p>
    <w:p>
      <w:pPr>
        <w:pStyle w:val="Heading1"/>
        <w:spacing w:after="160" w:before="400"/>
      </w:pPr>
      <w:r>
        <w:rPr>
          <w:rFonts w:ascii="Arial" w:cs="Arial" w:eastAsia="Arial" w:hAnsi="Arial"/>
          <w:b/>
          <w:bCs/>
          <w:color w:val="1F3864"/>
          <w:sz w:val="32"/>
          <w:szCs w:val="32"/>
        </w:rPr>
        <w:t xml:space="preserve">Section H — Income Tax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6200"/>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Tax agent</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Taxsafe Sdn Bhd  |  Kuljit Kaur  |  tax@taxsafe.com.my</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 TIN</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IG 3347387000</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Betsy TIN</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IG 10539249090</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YA 2025 status</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Submitted to Taxsafe March 2026 — to be filed by Taxsafe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MyTax login (David)</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IC number / @124Tokyo  |  mytax.hasil.gov.my</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Action</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Notify Taxsafe immediately in the event of death. They will advise on outstanding obligations.</w:t>
            </w:r>
          </w:p>
        </w:tc>
      </w:tr>
    </w:tbl>
    <w:p>
      <w:r>
        <w:br w:type="page"/>
      </w:r>
    </w:p>
    <w:p>
      <w:pPr>
        <w:pStyle w:val="Heading1"/>
        <w:spacing w:after="160" w:before="400"/>
      </w:pPr>
      <w:r>
        <w:rPr>
          <w:rFonts w:ascii="Arial" w:cs="Arial" w:eastAsia="Arial" w:hAnsi="Arial"/>
          <w:b/>
          <w:bCs/>
          <w:color w:val="1F3864"/>
          <w:sz w:val="32"/>
          <w:szCs w:val="32"/>
        </w:rPr>
        <w:t xml:space="preserve">Section I — BSCT Technologies Sdn Bhd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6200"/>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Company</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BSCT Technologies Sdn Bhd</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Former entity</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BSCT Consultants Sdn Bhd (Co. 1103503-K)</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Purpose</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David's commercial vehicle for AI technology work and Golf Scoring Assistant</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Status</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Active. Pre-revenue. Cradle CIP Spark grant application in progress.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Amanda's role</w:t>
            </w:r>
          </w:p>
        </w:tc>
        <w:tc>
          <w:tcPr>
            <w:tcW w:type="dxa" w:w="6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Named Programme Manager on the Cradle grant application. She has direct knowledge of status.</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Key partner</w:t>
            </w:r>
          </w:p>
        </w:tc>
        <w:tc>
          <w:tcPr>
            <w:tcW w:type="dxa" w:w="6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Joyrama — business development, verbal commitment April 2026</w:t>
            </w:r>
          </w:p>
        </w:tc>
      </w:tr>
    </w:tbl>
    <w:p>
      <w:pPr>
        <w:spacing w:after="10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7B0000" w:sz="4"/>
              <w:left w:val="single" w:color="7B0000" w:sz="4"/>
              <w:bottom w:val="single" w:color="7B0000" w:sz="4"/>
              <w:right w:val="single" w:color="7B0000" w:sz="4"/>
            </w:tcBorders>
            <w:shd w:fill="FFF2CC" w:val="clear"/>
            <w:tcMar>
              <w:top w:type="dxa" w:w="120"/>
              <w:left w:type="dxa" w:w="180"/>
              <w:bottom w:type="dxa" w:w="120"/>
              <w:right w:type="dxa" w:w="180"/>
            </w:tcMar>
          </w:tcPr>
          <w:p>
            <w:pPr>
              <w:spacing w:after="40" w:before="40"/>
            </w:pPr>
            <w:r>
              <w:rPr>
                <w:rFonts w:ascii="Arial" w:cs="Arial" w:eastAsia="Arial" w:hAnsi="Arial"/>
                <w:color w:val="7B0000"/>
                <w:sz w:val="20"/>
                <w:szCs w:val="20"/>
              </w:rPr>
              <w:t xml:space="preserve">IMPORTANT: Do not wind down BSCT Technologies immediately.</w:t>
            </w:r>
          </w:p>
          <w:p>
            <w:pPr>
              <w:spacing w:after="40" w:before="40"/>
            </w:pPr>
            <w:r>
              <w:rPr>
                <w:rFonts w:ascii="Arial" w:cs="Arial" w:eastAsia="Arial" w:hAnsi="Arial"/>
                <w:color w:val="7B0000"/>
                <w:sz w:val="20"/>
                <w:szCs w:val="20"/>
              </w:rPr>
              <w:t xml:space="preserve">Ask the probate lawyer to advise first.</w:t>
            </w:r>
          </w:p>
          <w:p>
            <w:pPr>
              <w:spacing w:after="40" w:before="40"/>
            </w:pPr>
            <w:r>
              <w:rPr>
                <w:rFonts w:ascii="Arial" w:cs="Arial" w:eastAsia="Arial" w:hAnsi="Arial"/>
                <w:color w:val="7B0000"/>
                <w:sz w:val="20"/>
                <w:szCs w:val="20"/>
              </w:rPr>
              <w:t xml:space="preserve">Amanda understands the grant application and business relationships.</w:t>
            </w:r>
          </w:p>
        </w:tc>
      </w:tr>
    </w:tbl>
    <w:p>
      <w:r>
        <w:br w:type="page"/>
      </w:r>
    </w:p>
    <w:p>
      <w:pPr>
        <w:pStyle w:val="Heading1"/>
        <w:spacing w:after="160" w:before="400"/>
      </w:pPr>
      <w:r>
        <w:rPr>
          <w:rFonts w:ascii="Arial" w:cs="Arial" w:eastAsia="Arial" w:hAnsi="Arial"/>
          <w:b/>
          <w:bCs/>
          <w:color w:val="1F3864"/>
          <w:sz w:val="32"/>
          <w:szCs w:val="32"/>
        </w:rPr>
        <w:t xml:space="preserve">Section J — Utilities</w:t>
      </w:r>
    </w:p>
    <w:p>
      <w:pPr>
        <w:pStyle w:val="Heading2"/>
        <w:spacing w:after="120" w:before="280"/>
      </w:pPr>
      <w:r>
        <w:rPr>
          <w:rFonts w:ascii="Arial" w:cs="Arial" w:eastAsia="Arial" w:hAnsi="Arial"/>
          <w:b/>
          <w:bCs/>
          <w:color w:val="1F3864"/>
          <w:sz w:val="26"/>
          <w:szCs w:val="26"/>
        </w:rPr>
        <w:t xml:space="preserve">TNB (Electricity)</w:t>
      </w:r>
    </w:p>
    <w:p>
      <w:pPr>
        <w:spacing w:after="60" w:before="60"/>
      </w:pPr>
      <w:r>
        <w:rPr>
          <w:rFonts w:ascii="Arial" w:cs="Arial" w:eastAsia="Arial" w:hAnsi="Arial"/>
          <w:sz w:val="22"/>
          <w:szCs w:val="22"/>
        </w:rPr>
        <w:t xml:space="preserve">Portal: myaccount.mytnb.com.my  |  Login: dtdavidpersonal@gmail.com / @124Tokyo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000"/>
        <w:gridCol w:w="5000"/>
      </w:tblGrid>
      <w:tr>
        <w:trPr>
          <w:tblHeader/>
        </w:trPr>
        <w:tc>
          <w:tcPr>
            <w:tcW w:type="dxa" w:w="4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Property</w:t>
            </w:r>
          </w:p>
        </w:tc>
        <w:tc>
          <w:tcPr>
            <w:tcW w:type="dxa" w:w="5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TNB Account Number</w:t>
            </w:r>
          </w:p>
        </w:tc>
      </w:tr>
      <w:tr>
        <w:tc>
          <w:tcPr>
            <w:tcW w:type="dxa" w:w="4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Family Home (1BK6B1B)</w:t>
            </w:r>
          </w:p>
        </w:tc>
        <w:tc>
          <w:tcPr>
            <w:tcW w:type="dxa" w:w="5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220231985209</w:t>
            </w:r>
          </w:p>
        </w:tc>
      </w:tr>
      <w:tr>
        <w:tc>
          <w:tcPr>
            <w:tcW w:type="dxa" w:w="4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Family Home Solar</w:t>
            </w:r>
          </w:p>
        </w:tc>
        <w:tc>
          <w:tcPr>
            <w:tcW w:type="dxa" w:w="5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230000225610</w:t>
            </w:r>
          </w:p>
        </w:tc>
      </w:tr>
      <w:tr>
        <w:tc>
          <w:tcPr>
            <w:tcW w:type="dxa" w:w="4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Eight Kinrara</w:t>
            </w:r>
          </w:p>
        </w:tc>
        <w:tc>
          <w:tcPr>
            <w:tcW w:type="dxa" w:w="5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220245963704</w:t>
            </w:r>
          </w:p>
        </w:tc>
      </w:tr>
      <w:tr>
        <w:tc>
          <w:tcPr>
            <w:tcW w:type="dxa" w:w="4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Sri Kasturi</w:t>
            </w:r>
          </w:p>
        </w:tc>
        <w:tc>
          <w:tcPr>
            <w:tcW w:type="dxa" w:w="5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220085401005</w:t>
            </w:r>
          </w:p>
        </w:tc>
      </w:tr>
      <w:tr>
        <w:tc>
          <w:tcPr>
            <w:tcW w:type="dxa" w:w="4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Palm Court</w:t>
            </w:r>
          </w:p>
        </w:tc>
        <w:tc>
          <w:tcPr>
            <w:tcW w:type="dxa" w:w="5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220002281808</w:t>
            </w:r>
          </w:p>
        </w:tc>
      </w:tr>
      <w:tr>
        <w:tc>
          <w:tcPr>
            <w:tcW w:type="dxa" w:w="4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Shaftsbury</w:t>
            </w:r>
          </w:p>
        </w:tc>
        <w:tc>
          <w:tcPr>
            <w:tcW w:type="dxa" w:w="5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210016495908</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Other Utilities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3800"/>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2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Account / Login</w:t>
            </w:r>
          </w:p>
        </w:tc>
        <w:tc>
          <w:tcPr>
            <w:tcW w:type="dxa" w:w="3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MPSJ (Quit Rent) — Family Home</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0501020160697900</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mbsj.gov.my  |  login: dtdavidpersonal@gmail.com / @124Tokyo</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MPSJ — Eight Kinrara</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0501021600005600</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145.50 half-year</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MPSJ — Sri Kasturi</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0501020160582400</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RM 102.00 half-year</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DBKL — Palm Court</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1611210983183</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IWK — Sri Kasturi</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59638593</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iwk.com.my</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IWK — Palm Court</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28649572</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IWK — Shaftsbury</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94804960</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Air Selangor — Family Home</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SOA0756121000</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airselangor.com  |  login: 630613085825 / @124Singapore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Air Selangor — Palm Court</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SOA5270834696</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r>
      <w:tr>
        <w:tc>
          <w:tcPr>
            <w:tcW w:type="dxa" w:w="2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Unifi (home internet)</w:t>
            </w:r>
          </w:p>
        </w:tc>
        <w:tc>
          <w:tcPr>
            <w:tcW w:type="dxa" w:w="24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bsct0@unifi</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PPPoE: 5H6rvHcM3ty6q  |  Support: 100</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Astro</w:t>
            </w:r>
          </w:p>
        </w:tc>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Home TV subscription</w:t>
            </w:r>
          </w:p>
        </w:tc>
      </w:tr>
    </w:tbl>
    <w:p>
      <w:r>
        <w:br w:type="page"/>
      </w:r>
    </w:p>
    <w:p>
      <w:pPr>
        <w:pStyle w:val="Heading1"/>
        <w:spacing w:after="160" w:before="400"/>
      </w:pPr>
      <w:r>
        <w:rPr>
          <w:rFonts w:ascii="Arial" w:cs="Arial" w:eastAsia="Arial" w:hAnsi="Arial"/>
          <w:b/>
          <w:bCs/>
          <w:color w:val="1F3864"/>
          <w:sz w:val="32"/>
          <w:szCs w:val="32"/>
        </w:rPr>
        <w:t xml:space="preserve">Section K — Key Contacts</w:t>
      </w:r>
    </w:p>
    <w:p>
      <w:pPr>
        <w:pStyle w:val="Heading2"/>
        <w:spacing w:after="120" w:before="280"/>
      </w:pPr>
      <w:r>
        <w:rPr>
          <w:rFonts w:ascii="Arial" w:cs="Arial" w:eastAsia="Arial" w:hAnsi="Arial"/>
          <w:b/>
          <w:bCs/>
          <w:color w:val="1F3864"/>
          <w:sz w:val="26"/>
          <w:szCs w:val="26"/>
        </w:rPr>
        <w:t xml:space="preserve">Legal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500"/>
      </w:tblGrid>
      <w:tr>
        <w:trPr>
          <w:tblHeader/>
        </w:trPr>
        <w:tc>
          <w:tcPr>
            <w:tcW w:type="dxa" w:w="3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Name / Firm</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Contact</w:t>
            </w:r>
          </w:p>
        </w:tc>
        <w:tc>
          <w:tcPr>
            <w:tcW w:type="dxa" w:w="35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3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Leonard Lee Chee Jee
Messrs C.J. Lee &amp; Ding
32-1-1 Jalan Medan Putra 4, Bandar Menjalara, 52200 KL</w:t>
            </w:r>
          </w:p>
        </w:tc>
        <w:tc>
          <w:tcPr>
            <w:tcW w:type="dxa" w:w="2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03-6277 3211</w:t>
            </w:r>
          </w:p>
        </w:tc>
        <w:tc>
          <w:tcPr>
            <w:tcW w:type="dxa" w:w="35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Shaftsbury and Palm Court conveyancing.</w:t>
            </w:r>
          </w:p>
        </w:tc>
      </w:tr>
      <w:tr>
        <w:tc>
          <w:tcPr>
            <w:tcW w:type="dxa" w:w="3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Messrs Shaliza &amp; Anis
Unit 25-3, Blok 3B, Jalan Wangsa Delima 10, Wangsa Maju KL</w:t>
            </w:r>
          </w:p>
        </w:tc>
        <w:tc>
          <w:tcPr>
            <w:tcW w:type="dxa" w:w="2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03-4143 2828</w:t>
            </w:r>
          </w:p>
        </w:tc>
        <w:tc>
          <w:tcPr>
            <w:tcW w:type="dxa" w:w="35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Eight Kinrara conveyancing</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Banking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00"/>
      </w:tblGrid>
      <w:tr>
        <w:trPr>
          <w:tblHeader/>
        </w:trPr>
        <w:tc>
          <w:tcPr>
            <w:tcW w:type="dxa" w:w="2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Bank</w:t>
            </w:r>
          </w:p>
        </w:tc>
        <w:tc>
          <w:tcPr>
            <w:tcW w:type="dxa" w:w="3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Contact</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Maybank</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David and Betsy personal accounts</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1300 88 6688 or any branch</w:t>
            </w:r>
          </w:p>
        </w:tc>
      </w:tr>
      <w:tr>
        <w:tc>
          <w:tcPr>
            <w:tcW w:type="dxa" w:w="2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Standard Chartered</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Online payments, historical Palm Court loan</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03-7713 8888 or any branch</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CIMB</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Eight Kinrara loan (fully settled)</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03-6204 7788 or any branch</w:t>
            </w:r>
          </w:p>
        </w:tc>
      </w:tr>
      <w:tr>
        <w:tc>
          <w:tcPr>
            <w:tcW w:type="dxa" w:w="2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Bank Rakyat</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RM 800,000 Fixed Deposit</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03-8318 1655  |  Unit F03, Glomac Cyberjaya</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Public Bank (Jalan Raja Laut)</w:t>
            </w:r>
          </w:p>
        </w:tc>
        <w:tc>
          <w:tcPr>
            <w:tcW w:type="dxa" w:w="30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Safety deposit box — FD certificates</w:t>
            </w:r>
          </w:p>
        </w:tc>
        <w:tc>
          <w:tcPr>
            <w:tcW w:type="dxa" w:w="3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Visit branch with death certificate</w:t>
            </w:r>
          </w:p>
        </w:tc>
      </w:tr>
      <w:tr>
        <w:tc>
          <w:tcPr>
            <w:tcW w:type="dxa" w:w="22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KWSP / EPF</w:t>
            </w:r>
          </w:p>
        </w:tc>
        <w:tc>
          <w:tcPr>
            <w:tcW w:type="dxa" w:w="30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David and Betsy EPF accounts</w:t>
            </w:r>
          </w:p>
        </w:tc>
        <w:tc>
          <w:tcPr>
            <w:tcW w:type="dxa" w:w="3800"/>
            <w:tcBorders>
              <w:top w:val="single" w:color="AAAAAA" w:sz="1"/>
              <w:left w:val="single" w:color="AAAAAA" w:sz="1"/>
              <w:bottom w:val="single" w:color="AAAAAA" w:sz="1"/>
              <w:right w:val="single" w:color="AAAAAA" w:sz="1"/>
            </w:tcBorders>
            <w:shd w:fill="D5E8F0" w:val="clear"/>
            <w:tcMar>
              <w:top w:type="dxa" w:w="80"/>
              <w:left w:type="dxa" w:w="120"/>
              <w:bottom w:type="dxa" w:w="80"/>
              <w:right w:type="dxa" w:w="120"/>
            </w:tcMar>
          </w:tcPr>
          <w:p>
            <w:r>
              <w:rPr>
                <w:rFonts w:ascii="Arial" w:cs="Arial" w:eastAsia="Arial" w:hAnsi="Arial"/>
                <w:sz w:val="20"/>
                <w:szCs w:val="20"/>
              </w:rPr>
              <w:t xml:space="preserve">03-8922 6000  |  kwsp.gov.my</w:t>
            </w:r>
          </w:p>
        </w:tc>
      </w:tr>
    </w:tbl>
    <w:p>
      <w:pPr>
        <w:spacing w:after="100" w:before="100"/>
      </w:pPr>
      <w:r>
        <w:t xml:space="preserve"/>
      </w:r>
    </w:p>
    <w:p>
      <w:pPr>
        <w:pStyle w:val="Heading2"/>
        <w:spacing w:after="120" w:before="280"/>
      </w:pPr>
      <w:r>
        <w:rPr>
          <w:rFonts w:ascii="Arial" w:cs="Arial" w:eastAsia="Arial" w:hAnsi="Arial"/>
          <w:b/>
          <w:bCs/>
          <w:color w:val="1F3864"/>
          <w:sz w:val="26"/>
          <w:szCs w:val="26"/>
        </w:rPr>
        <w:t xml:space="preserve">Tax Agent</w:t>
      </w:r>
    </w:p>
    <w:p>
      <w:pPr>
        <w:spacing w:after="60" w:before="60"/>
      </w:pPr>
      <w:r>
        <w:rPr>
          <w:rFonts w:ascii="Arial" w:cs="Arial" w:eastAsia="Arial" w:hAnsi="Arial"/>
          <w:sz w:val="22"/>
          <w:szCs w:val="22"/>
        </w:rPr>
        <w:t xml:space="preserve">Taxsafe Sdn Bhd  |  Kuljit Kaur  |  tax@taxsafe.com.my</w:t>
      </w:r>
    </w:p>
    <w:p>
      <w:pPr>
        <w:spacing w:after="100" w:before="100"/>
      </w:pPr>
      <w:r>
        <w:t xml:space="preserve"/>
      </w:r>
    </w:p>
    <w:p>
      <w:pPr>
        <w:pBdr>
          <w:bottom w:val="single" w:color="1F3864" w:sz="4" w:space="1"/>
        </w:pBdr>
        <w:spacing w:after="120" w:before="120"/>
      </w:pPr>
      <w:r>
        <w:t xml:space="preserve"/>
      </w:r>
    </w:p>
    <w:p>
      <w:pPr>
        <w:spacing w:after="100" w:before="100"/>
      </w:pPr>
      <w:r>
        <w:t xml:space="preserve"/>
      </w:r>
    </w:p>
    <w:p>
      <w:pPr>
        <w:spacing w:after="100" w:before="200"/>
        <w:jc w:val="center"/>
      </w:pPr>
      <w:r>
        <w:rPr>
          <w:rFonts w:ascii="Arial" w:cs="Arial" w:eastAsia="Arial" w:hAnsi="Arial"/>
          <w:i/>
          <w:iCs/>
          <w:color w:val="666666"/>
          <w:sz w:val="22"/>
          <w:szCs w:val="22"/>
        </w:rPr>
        <w:t xml:space="preserve">Thomas Family Estate Record</w:t>
      </w:r>
    </w:p>
    <w:p>
      <w:pPr>
        <w:spacing w:after="100" w:before="0"/>
        <w:jc w:val="center"/>
      </w:pPr>
      <w:r>
        <w:rPr>
          <w:rFonts w:ascii="Arial" w:cs="Arial" w:eastAsia="Arial" w:hAnsi="Arial"/>
          <w:i/>
          <w:iCs/>
          <w:color w:val="888888"/>
          <w:sz w:val="20"/>
          <w:szCs w:val="20"/>
        </w:rPr>
        <w:t xml:space="preserve">Updated June 2026  |  Prepared by David Thomas for Betsy, Amanda, and Jerusha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1"/>
      </w:pBdr>
      <w:tabs>
        <w:tab w:val="right" w:pos="9026"/>
      </w:tabs>
      <w:spacing w:before="120"/>
    </w:pPr>
    <w:r>
      <w:rPr>
        <w:rFonts w:ascii="Arial" w:cs="Arial" w:eastAsia="Arial" w:hAnsi="Arial"/>
        <w:color w:val="888888"/>
        <w:sz w:val="18"/>
        <w:szCs w:val="18"/>
      </w:rPr>
      <w:t xml:space="preserve">Thomas Family Estate Record  |  June 2026</w:t>
    </w:r>
    <w:r>
      <w:rPr>
        <w:rFonts w:ascii="Arial" w:cs="Arial" w:eastAsia="Arial" w:hAnsi="Arial"/>
        <w:color w:val="888888"/>
        <w:sz w:val="18"/>
        <w:szCs w:val="18"/>
      </w:rPr>
      <w:t xml:space="preserve">	Thomas Family Estate Record  |  June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4" w:space="1"/>
      </w:pBdr>
      <w:spacing w:after="120"/>
    </w:pPr>
    <w:r>
      <w:rPr>
        <w:rFonts w:ascii="Arial" w:cs="Arial" w:eastAsia="Arial" w:hAnsi="Arial"/>
        <w:color w:val="888888"/>
        <w:sz w:val="18"/>
        <w:szCs w:val="18"/>
      </w:rPr>
      <w:t xml:space="preserve">THOMAS FAMILY ESTATE RECORD  |  STRICTLY PRIVATE AND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2026-06-18T13:30:21.608Z</dcterms:created>
  <dcterms:modified xsi:type="dcterms:W3CDTF">2026-06-18T13:30:21.621Z</dcterms:modified>
</cp:coreProperties>
</file>

<file path=docProps/custom.xml><?xml version="1.0" encoding="utf-8"?>
<Properties xmlns="http://schemas.openxmlformats.org/officeDocument/2006/custom-properties" xmlns:vt="http://schemas.openxmlformats.org/officeDocument/2006/docPropsVTypes"/>
</file>